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1D463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Ապացույցների</w:t>
      </w:r>
      <w:r w:rsidRPr="006B15D6">
        <w:rPr>
          <w:rStyle w:val="Strong"/>
          <w:rFonts w:cs="Times New Roman"/>
          <w:color w:val="0F1115"/>
          <w:shd w:val="clear" w:color="auto" w:fill="FFFFFF"/>
          <w:lang w:val="hy-AM"/>
        </w:rPr>
        <w:t xml:space="preserve"> </w:t>
      </w: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թույլատրելիությունը</w:t>
      </w:r>
      <w:r w:rsidRPr="006B15D6">
        <w:rPr>
          <w:rStyle w:val="Strong"/>
          <w:rFonts w:cs="Times New Roman"/>
          <w:color w:val="0F1115"/>
          <w:shd w:val="clear" w:color="auto" w:fill="FFFFFF"/>
          <w:lang w:val="hy-AM"/>
        </w:rPr>
        <w:t xml:space="preserve"> </w:t>
      </w: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քրեական</w:t>
      </w:r>
      <w:r w:rsidRPr="006B15D6">
        <w:rPr>
          <w:rStyle w:val="Strong"/>
          <w:rFonts w:cs="Times New Roman"/>
          <w:color w:val="0F1115"/>
          <w:shd w:val="clear" w:color="auto" w:fill="FFFFFF"/>
          <w:lang w:val="hy-AM"/>
        </w:rPr>
        <w:t xml:space="preserve"> </w:t>
      </w: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դատավարությունում</w:t>
      </w:r>
      <w:r w:rsidRPr="006B15D6">
        <w:rPr>
          <w:rStyle w:val="Strong"/>
          <w:rFonts w:cs="Times New Roman"/>
          <w:color w:val="0F1115"/>
          <w:shd w:val="clear" w:color="auto" w:fill="FFFFFF"/>
          <w:lang w:val="hy-AM"/>
        </w:rPr>
        <w:t xml:space="preserve">. </w:t>
      </w: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սահմանադրական</w:t>
      </w:r>
      <w:r w:rsidRPr="006B15D6">
        <w:rPr>
          <w:rStyle w:val="Strong"/>
          <w:rFonts w:cs="Times New Roman"/>
          <w:color w:val="0F1115"/>
          <w:shd w:val="clear" w:color="auto" w:fill="FFFFFF"/>
          <w:lang w:val="hy-AM"/>
        </w:rPr>
        <w:t xml:space="preserve"> </w:t>
      </w: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և</w:t>
      </w:r>
      <w:r w:rsidRPr="006B15D6">
        <w:rPr>
          <w:rStyle w:val="Strong"/>
          <w:rFonts w:cs="Times New Roman"/>
          <w:color w:val="0F1115"/>
          <w:shd w:val="clear" w:color="auto" w:fill="FFFFFF"/>
          <w:lang w:val="hy-AM"/>
        </w:rPr>
        <w:t xml:space="preserve"> </w:t>
      </w: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դատավարական</w:t>
      </w:r>
      <w:r w:rsidRPr="006B15D6">
        <w:rPr>
          <w:rStyle w:val="Strong"/>
          <w:rFonts w:cs="Times New Roman"/>
          <w:color w:val="0F1115"/>
          <w:shd w:val="clear" w:color="auto" w:fill="FFFFFF"/>
          <w:lang w:val="hy-AM"/>
        </w:rPr>
        <w:t xml:space="preserve"> </w:t>
      </w:r>
      <w:r w:rsidRPr="006B15D6">
        <w:rPr>
          <w:rStyle w:val="Strong"/>
          <w:rFonts w:ascii="Sylfaen" w:hAnsi="Sylfaen" w:cs="Sylfaen"/>
          <w:color w:val="0F1115"/>
          <w:shd w:val="clear" w:color="auto" w:fill="FFFFFF"/>
          <w:lang w:val="hy-AM"/>
        </w:rPr>
        <w:t>մարտահրավերները</w:t>
      </w:r>
      <w:r w:rsidRPr="006B15D6">
        <w:rPr>
          <w:rFonts w:cs="Times New Roman"/>
          <w:lang w:val="hy-AM"/>
        </w:rPr>
        <w:t xml:space="preserve"> </w:t>
      </w:r>
    </w:p>
    <w:p w14:paraId="05C1D464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cs="Times New Roman"/>
          <w:lang w:val="hy-AM"/>
        </w:rPr>
        <w:t>(</w:t>
      </w:r>
      <w:r w:rsidRPr="006B15D6">
        <w:rPr>
          <w:rFonts w:ascii="Sylfaen" w:hAnsi="Sylfaen" w:cs="Sylfaen"/>
          <w:lang w:val="hy-AM"/>
        </w:rPr>
        <w:t>Գիտագործնական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կոնֆերանս</w:t>
      </w:r>
      <w:r w:rsidRPr="006B15D6">
        <w:rPr>
          <w:rFonts w:cs="Times New Roman"/>
          <w:lang w:val="hy-AM"/>
        </w:rPr>
        <w:t xml:space="preserve">, </w:t>
      </w:r>
      <w:r w:rsidRPr="006B15D6">
        <w:rPr>
          <w:rFonts w:ascii="Sylfaen" w:hAnsi="Sylfaen" w:cs="Sylfaen"/>
          <w:lang w:val="hy-AM"/>
        </w:rPr>
        <w:t>Երևան</w:t>
      </w:r>
      <w:r w:rsidRPr="006B15D6">
        <w:rPr>
          <w:rFonts w:cs="Times New Roman"/>
          <w:lang w:val="hy-AM"/>
        </w:rPr>
        <w:t>, 2025</w:t>
      </w:r>
      <w:r w:rsidRPr="006B15D6">
        <w:rPr>
          <w:rFonts w:ascii="Sylfaen" w:hAnsi="Sylfaen" w:cs="Sylfaen"/>
          <w:lang w:val="hy-AM"/>
        </w:rPr>
        <w:t>թ</w:t>
      </w:r>
      <w:r w:rsidRPr="006B15D6">
        <w:rPr>
          <w:rFonts w:ascii="MS Mincho" w:eastAsia="MS Mincho" w:hAnsi="MS Mincho" w:hint="eastAsia"/>
          <w:lang w:val="hy-AM"/>
        </w:rPr>
        <w:t>․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հոկտեմբերի</w:t>
      </w:r>
      <w:r w:rsidRPr="006B15D6">
        <w:rPr>
          <w:rFonts w:cs="Times New Roman"/>
          <w:lang w:val="hy-AM"/>
        </w:rPr>
        <w:t xml:space="preserve"> 3)</w:t>
      </w:r>
    </w:p>
    <w:p w14:paraId="05C1D465" w14:textId="77777777" w:rsidR="00161BCE" w:rsidRPr="006B15D6" w:rsidRDefault="00161BCE" w:rsidP="006B15D6">
      <w:pPr>
        <w:rPr>
          <w:rFonts w:cs="Times New Roman"/>
          <w:lang w:val="hy-AM"/>
        </w:rPr>
      </w:pPr>
    </w:p>
    <w:p w14:paraId="05C1D466" w14:textId="77777777" w:rsidR="00161BCE" w:rsidRPr="006B15D6" w:rsidRDefault="00161BCE" w:rsidP="006B15D6">
      <w:pPr>
        <w:rPr>
          <w:rFonts w:cs="Times New Roman"/>
          <w:lang w:val="hy-AM"/>
        </w:rPr>
      </w:pPr>
      <w:bookmarkStart w:id="0" w:name="_GoBack"/>
      <w:bookmarkEnd w:id="0"/>
    </w:p>
    <w:p w14:paraId="05C1D467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lang w:val="hy-AM"/>
        </w:rPr>
        <w:t>Զեկուցողներ՝</w:t>
      </w:r>
      <w:r w:rsidRPr="006B15D6">
        <w:rPr>
          <w:rFonts w:cs="Times New Roman"/>
          <w:lang w:val="hy-AM"/>
        </w:rPr>
        <w:t xml:space="preserve"> </w:t>
      </w:r>
    </w:p>
    <w:p w14:paraId="05C1D468" w14:textId="77777777" w:rsidR="00161BCE" w:rsidRPr="006B15D6" w:rsidRDefault="00161BCE" w:rsidP="006B15D6">
      <w:pPr>
        <w:rPr>
          <w:rFonts w:cs="Times New Roman"/>
          <w:b/>
          <w:lang w:val="hy-AM"/>
        </w:rPr>
      </w:pPr>
    </w:p>
    <w:p w14:paraId="6E62CDC2" w14:textId="02A2CEAC" w:rsidR="006C26B8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Ղամբարյան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Ա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="006C26B8" w:rsidRPr="006B15D6">
        <w:rPr>
          <w:rFonts w:ascii="Sylfaen" w:hAnsi="Sylfaen" w:cs="Sylfaen"/>
          <w:lang w:val="hy-AM"/>
        </w:rPr>
        <w:t>Պատշաճ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ապացուցման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սկզբունքի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ազդեցությունն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ապացույցների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թույլատրելիության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ինստիտուտի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կիրառության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սահմանների</w:t>
      </w:r>
      <w:r w:rsidR="006C26B8" w:rsidRPr="006B15D6">
        <w:rPr>
          <w:rFonts w:cs="Times New Roman"/>
          <w:lang w:val="hy-AM"/>
        </w:rPr>
        <w:t xml:space="preserve"> </w:t>
      </w:r>
      <w:r w:rsidR="006C26B8" w:rsidRPr="006B15D6">
        <w:rPr>
          <w:rFonts w:ascii="Sylfaen" w:hAnsi="Sylfaen" w:cs="Sylfaen"/>
          <w:lang w:val="hy-AM"/>
        </w:rPr>
        <w:t>վրա</w:t>
      </w:r>
    </w:p>
    <w:p w14:paraId="05C1D46A" w14:textId="5F7C6F94" w:rsidR="00161BCE" w:rsidRPr="006B15D6" w:rsidRDefault="00161BCE" w:rsidP="006B15D6">
      <w:pPr>
        <w:rPr>
          <w:rFonts w:cs="Times New Roman"/>
          <w:b/>
          <w:lang w:val="hy-AM"/>
        </w:rPr>
      </w:pPr>
    </w:p>
    <w:p w14:paraId="05C1D46B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Մարաբյան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Ս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Pr="006B15D6">
        <w:rPr>
          <w:rFonts w:ascii="Sylfaen" w:hAnsi="Sylfaen" w:cs="Sylfaen"/>
          <w:lang w:val="hy-AM"/>
        </w:rPr>
        <w:t>Ապացույցի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թույլատրելիության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էվոլուցիան</w:t>
      </w:r>
      <w:r w:rsidRPr="006B15D6">
        <w:rPr>
          <w:rFonts w:ascii="MS Mincho" w:eastAsia="MS Mincho" w:hAnsi="MS Mincho" w:hint="eastAsia"/>
          <w:lang w:val="hy-AM"/>
        </w:rPr>
        <w:t>․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օրինականությունից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դեպի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արդարություն</w:t>
      </w:r>
    </w:p>
    <w:p w14:paraId="05C1D46C" w14:textId="77777777" w:rsidR="00161BCE" w:rsidRPr="006B15D6" w:rsidRDefault="00161BCE" w:rsidP="006B15D6">
      <w:pPr>
        <w:rPr>
          <w:rFonts w:cs="Times New Roman"/>
          <w:b/>
          <w:lang w:val="hy-AM"/>
        </w:rPr>
      </w:pPr>
    </w:p>
    <w:p w14:paraId="05C1D46D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Մելիքյան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Ռ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Pr="006B15D6">
        <w:rPr>
          <w:rFonts w:ascii="Sylfaen" w:hAnsi="Sylfaen" w:cs="Sylfaen"/>
          <w:lang w:val="hy-AM"/>
        </w:rPr>
        <w:t>Ապացույցները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մասնակի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անթույլատրելի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ճանաչելու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հիմնախնդիրները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ՀՀ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քրեական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դատավարությունում</w:t>
      </w:r>
    </w:p>
    <w:p w14:paraId="05C1D46E" w14:textId="77777777" w:rsidR="00161BCE" w:rsidRPr="006B15D6" w:rsidRDefault="00161BCE" w:rsidP="006B15D6">
      <w:pPr>
        <w:rPr>
          <w:rFonts w:cs="Times New Roman"/>
          <w:b/>
          <w:lang w:val="hy-AM"/>
        </w:rPr>
      </w:pPr>
    </w:p>
    <w:p w14:paraId="05C1D46F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Թաթոյան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Ա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Pr="006B15D6">
        <w:rPr>
          <w:rFonts w:ascii="Sylfaen" w:hAnsi="Sylfaen" w:cs="Sylfaen"/>
          <w:lang w:val="hy-AM"/>
        </w:rPr>
        <w:t>Խոշտանգումների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հիմքով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ապացույցներն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անթույլատրելի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ճանաչելը</w:t>
      </w:r>
    </w:p>
    <w:p w14:paraId="05C1D470" w14:textId="77777777" w:rsidR="00161BCE" w:rsidRPr="006B15D6" w:rsidRDefault="00161BCE" w:rsidP="006B15D6">
      <w:pPr>
        <w:rPr>
          <w:rFonts w:cs="Times New Roman"/>
          <w:lang w:val="hy-AM"/>
        </w:rPr>
      </w:pPr>
    </w:p>
    <w:p w14:paraId="05C1D471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Նիկողոսյան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Ա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Pr="006B15D6">
        <w:rPr>
          <w:rFonts w:ascii="Sylfaen" w:hAnsi="Sylfaen" w:cs="Sylfaen"/>
          <w:lang w:val="hy-AM"/>
        </w:rPr>
        <w:t>Ապացույցների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թույլատրելիության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հարցերի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քննարկման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ծավալը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կալանք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կիրառելու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միջնորդությունը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քննարկելու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վարույթում</w:t>
      </w:r>
    </w:p>
    <w:p w14:paraId="05C1D472" w14:textId="77777777" w:rsidR="00161BCE" w:rsidRPr="006B15D6" w:rsidRDefault="00161BCE" w:rsidP="006B15D6">
      <w:pPr>
        <w:rPr>
          <w:rFonts w:cs="Times New Roman"/>
          <w:lang w:val="hy-AM"/>
        </w:rPr>
      </w:pPr>
    </w:p>
    <w:p w14:paraId="05C1D473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Հայրապետյան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Ջ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Pr="006B15D6">
        <w:rPr>
          <w:rFonts w:ascii="Sylfaen" w:hAnsi="Sylfaen" w:cs="Sylfaen"/>
          <w:lang w:val="hy-AM"/>
        </w:rPr>
        <w:t>Կալանք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կիրառելու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միջնորդության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քննարկման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վարույթով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քննիչի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կողմից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ապացույցներ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չներկայացնելու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և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հարցերին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պատասխանելուց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հրաժարվելու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իրավական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հետևանքները</w:t>
      </w:r>
      <w:r w:rsidRPr="006B15D6">
        <w:rPr>
          <w:rFonts w:cs="Times New Roman"/>
          <w:lang w:val="hy-AM"/>
        </w:rPr>
        <w:t xml:space="preserve"> </w:t>
      </w:r>
    </w:p>
    <w:p w14:paraId="05C1D474" w14:textId="77777777" w:rsidR="00161BCE" w:rsidRPr="006B15D6" w:rsidRDefault="00161BCE" w:rsidP="006B15D6">
      <w:pPr>
        <w:rPr>
          <w:rFonts w:cs="Times New Roman"/>
          <w:lang w:val="hy-AM"/>
        </w:rPr>
      </w:pPr>
    </w:p>
    <w:p w14:paraId="05C1D475" w14:textId="77777777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Հովհաննիսյան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Ա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Pr="006B15D6">
        <w:rPr>
          <w:rFonts w:ascii="Sylfaen" w:hAnsi="Sylfaen" w:cs="Sylfaen"/>
          <w:lang w:val="hy-AM"/>
        </w:rPr>
        <w:t>Գաղտնի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քննչական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գործողությունների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կատարման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արդյունքում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ձեռք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բերված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ապացույցների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թույլատրելիության</w:t>
      </w:r>
      <w:r w:rsidRPr="006B15D6">
        <w:rPr>
          <w:rFonts w:cs="Times New Roman"/>
          <w:lang w:val="hy-AM"/>
        </w:rPr>
        <w:t xml:space="preserve"> </w:t>
      </w:r>
      <w:r w:rsidRPr="006B15D6">
        <w:rPr>
          <w:rFonts w:ascii="Sylfaen" w:hAnsi="Sylfaen" w:cs="Sylfaen"/>
          <w:lang w:val="hy-AM"/>
        </w:rPr>
        <w:t>առանձնահատկությունները</w:t>
      </w:r>
    </w:p>
    <w:p w14:paraId="553F1AD6" w14:textId="77777777" w:rsidR="00E12D86" w:rsidRPr="006B15D6" w:rsidRDefault="00E12D86" w:rsidP="006B15D6">
      <w:pPr>
        <w:rPr>
          <w:rFonts w:cs="Times New Roman"/>
          <w:b/>
          <w:lang w:val="hy-AM"/>
        </w:rPr>
      </w:pPr>
    </w:p>
    <w:p w14:paraId="05C1D476" w14:textId="1B13935F" w:rsidR="00161BCE" w:rsidRPr="006B15D6" w:rsidRDefault="00161BCE" w:rsidP="006B15D6">
      <w:pPr>
        <w:rPr>
          <w:rFonts w:cs="Times New Roman"/>
          <w:lang w:val="hy-AM"/>
        </w:rPr>
      </w:pPr>
      <w:r w:rsidRPr="006B15D6">
        <w:rPr>
          <w:rFonts w:ascii="Sylfaen" w:hAnsi="Sylfaen" w:cs="Sylfaen"/>
          <w:b/>
          <w:lang w:val="hy-AM"/>
        </w:rPr>
        <w:t>Ղազարյան</w:t>
      </w:r>
      <w:r w:rsidRPr="006B15D6">
        <w:rPr>
          <w:rFonts w:cs="Times New Roman"/>
          <w:b/>
          <w:lang w:val="hy-AM"/>
        </w:rPr>
        <w:t xml:space="preserve"> </w:t>
      </w:r>
      <w:r w:rsidRPr="006B15D6">
        <w:rPr>
          <w:rFonts w:ascii="Sylfaen" w:hAnsi="Sylfaen" w:cs="Sylfaen"/>
          <w:b/>
          <w:lang w:val="hy-AM"/>
        </w:rPr>
        <w:t>Ա</w:t>
      </w:r>
      <w:r w:rsidRPr="006B15D6">
        <w:rPr>
          <w:rFonts w:ascii="MS Mincho" w:eastAsia="MS Mincho" w:hAnsi="MS Mincho" w:hint="eastAsia"/>
          <w:b/>
          <w:lang w:val="hy-AM"/>
        </w:rPr>
        <w:t>․</w:t>
      </w:r>
      <w:r w:rsidRPr="006B15D6">
        <w:rPr>
          <w:rFonts w:cs="Times New Roman"/>
          <w:b/>
          <w:lang w:val="hy-AM"/>
        </w:rPr>
        <w:t xml:space="preserve"> - </w:t>
      </w:r>
      <w:r w:rsidR="00E7113A" w:rsidRPr="006B15D6">
        <w:rPr>
          <w:rFonts w:ascii="Sylfaen" w:hAnsi="Sylfaen" w:cs="Sylfaen"/>
          <w:bCs/>
          <w:lang w:val="hy-AM"/>
        </w:rPr>
        <w:t>Ապացույցների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թույլատրելիության</w:t>
      </w:r>
      <w:r w:rsidR="00E7113A" w:rsidRPr="006B15D6">
        <w:rPr>
          <w:rFonts w:cs="Times New Roman"/>
          <w:bCs/>
          <w:lang w:val="hy-AM"/>
        </w:rPr>
        <w:t xml:space="preserve"> (</w:t>
      </w:r>
      <w:r w:rsidR="00E7113A" w:rsidRPr="006B15D6">
        <w:rPr>
          <w:rFonts w:ascii="Sylfaen" w:hAnsi="Sylfaen" w:cs="Sylfaen"/>
          <w:bCs/>
          <w:lang w:val="hy-AM"/>
        </w:rPr>
        <w:t>բացառման</w:t>
      </w:r>
      <w:r w:rsidR="00E7113A" w:rsidRPr="006B15D6">
        <w:rPr>
          <w:rFonts w:cs="Times New Roman"/>
          <w:bCs/>
          <w:lang w:val="hy-AM"/>
        </w:rPr>
        <w:t xml:space="preserve">) </w:t>
      </w:r>
      <w:r w:rsidR="00E7113A" w:rsidRPr="006B15D6">
        <w:rPr>
          <w:rFonts w:ascii="Sylfaen" w:hAnsi="Sylfaen" w:cs="Sylfaen"/>
          <w:bCs/>
          <w:lang w:val="hy-AM"/>
        </w:rPr>
        <w:t>ինստիտուտի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նպատակն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ու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գործառութային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նշանակությունը</w:t>
      </w:r>
      <w:r w:rsidR="00E7113A" w:rsidRPr="006B15D6">
        <w:rPr>
          <w:rFonts w:ascii="MS Mincho" w:eastAsia="MS Mincho" w:hAnsi="MS Mincho" w:hint="eastAsia"/>
          <w:bCs/>
          <w:lang w:val="hy-AM"/>
        </w:rPr>
        <w:t>․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իդեալական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տիպերն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ու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համեմատաիրավական</w:t>
      </w:r>
      <w:r w:rsidR="00E7113A" w:rsidRPr="006B15D6">
        <w:rPr>
          <w:rFonts w:cs="Times New Roman"/>
          <w:bCs/>
          <w:lang w:val="hy-AM"/>
        </w:rPr>
        <w:t xml:space="preserve"> </w:t>
      </w:r>
      <w:r w:rsidR="00E7113A" w:rsidRPr="006B15D6">
        <w:rPr>
          <w:rFonts w:ascii="Sylfaen" w:hAnsi="Sylfaen" w:cs="Sylfaen"/>
          <w:bCs/>
          <w:lang w:val="hy-AM"/>
        </w:rPr>
        <w:t>ասպեկտը</w:t>
      </w:r>
    </w:p>
    <w:p w14:paraId="05C1D477" w14:textId="77777777" w:rsidR="00161BCE" w:rsidRPr="006B15D6" w:rsidRDefault="00161BCE" w:rsidP="006B15D6">
      <w:pPr>
        <w:rPr>
          <w:rFonts w:cs="Times New Roman"/>
          <w:lang w:val="hy-AM"/>
        </w:rPr>
      </w:pPr>
    </w:p>
    <w:p w14:paraId="05C1D478" w14:textId="77777777" w:rsidR="0096437E" w:rsidRPr="00161BCE" w:rsidRDefault="0096437E">
      <w:pPr>
        <w:rPr>
          <w:lang w:val="hy-AM"/>
        </w:rPr>
      </w:pPr>
    </w:p>
    <w:sectPr w:rsidR="0096437E" w:rsidRPr="0016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Open Sans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75"/>
    <w:rsid w:val="00102D3D"/>
    <w:rsid w:val="00161BCE"/>
    <w:rsid w:val="002C22B2"/>
    <w:rsid w:val="00506635"/>
    <w:rsid w:val="006A698F"/>
    <w:rsid w:val="006B15D6"/>
    <w:rsid w:val="006C26B8"/>
    <w:rsid w:val="006E3727"/>
    <w:rsid w:val="00732890"/>
    <w:rsid w:val="0077333F"/>
    <w:rsid w:val="007A371F"/>
    <w:rsid w:val="007C1EEE"/>
    <w:rsid w:val="007D3C75"/>
    <w:rsid w:val="0096437E"/>
    <w:rsid w:val="00B2468D"/>
    <w:rsid w:val="00B52824"/>
    <w:rsid w:val="00C215B7"/>
    <w:rsid w:val="00C26D00"/>
    <w:rsid w:val="00C34D75"/>
    <w:rsid w:val="00DB5842"/>
    <w:rsid w:val="00DD3413"/>
    <w:rsid w:val="00E12D86"/>
    <w:rsid w:val="00E60B93"/>
    <w:rsid w:val="00E7113A"/>
    <w:rsid w:val="00E74604"/>
    <w:rsid w:val="00E92F4F"/>
    <w:rsid w:val="00F1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463"/>
  <w15:chartTrackingRefBased/>
  <w15:docId w15:val="{E060E7B7-DB8A-462F-A68A-665BFFEE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BCE"/>
    <w:pPr>
      <w:ind w:left="0" w:firstLine="284"/>
    </w:pPr>
    <w:rPr>
      <w:rFonts w:ascii="Times New Roman" w:hAnsi="Times New Roman" w:cs="MS Mincho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74604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604"/>
    <w:pPr>
      <w:keepNext/>
      <w:keepLines/>
      <w:spacing w:before="40"/>
      <w:ind w:firstLine="0"/>
      <w:outlineLvl w:val="1"/>
    </w:pPr>
    <w:rPr>
      <w:rFonts w:eastAsiaTheme="majorEastAsi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604"/>
    <w:pPr>
      <w:keepNext/>
      <w:keepLines/>
      <w:spacing w:before="40"/>
      <w:ind w:firstLine="0"/>
      <w:outlineLvl w:val="2"/>
    </w:pPr>
    <w:rPr>
      <w:rFonts w:eastAsiaTheme="majorEastAsia"/>
      <w:b/>
    </w:rPr>
  </w:style>
  <w:style w:type="paragraph" w:styleId="Heading4">
    <w:name w:val="heading 4"/>
    <w:aliases w:val="AHeading 4,Char"/>
    <w:basedOn w:val="Normal"/>
    <w:link w:val="Heading4Char"/>
    <w:uiPriority w:val="9"/>
    <w:qFormat/>
    <w:rsid w:val="00732890"/>
    <w:pPr>
      <w:spacing w:before="100" w:beforeAutospacing="1" w:after="100" w:afterAutospacing="1"/>
      <w:ind w:firstLine="0"/>
      <w:outlineLvl w:val="3"/>
    </w:pPr>
    <w:rPr>
      <w:rFonts w:eastAsia="Times New Roman"/>
      <w:bCs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98F"/>
    <w:pPr>
      <w:keepNext/>
      <w:keepLines/>
      <w:spacing w:before="40"/>
      <w:ind w:firstLine="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604"/>
    <w:rPr>
      <w:rFonts w:eastAsia="Times New Roman"/>
      <w:b/>
      <w:bCs/>
      <w:kern w:val="36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74604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4604"/>
    <w:rPr>
      <w:rFonts w:eastAsiaTheme="majorEastAsia" w:cstheme="majorBidi"/>
      <w:b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"/>
    <w:rsid w:val="00732890"/>
    <w:rPr>
      <w:rFonts w:eastAsia="Times New Roman"/>
      <w:bCs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B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eastAsiaTheme="minorEastAsia"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B7"/>
    <w:rPr>
      <w:rFonts w:eastAsiaTheme="minorEastAsia" w:cstheme="minorBidi"/>
      <w:iCs/>
      <w:color w:val="auto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98F"/>
    <w:rPr>
      <w:rFonts w:eastAsiaTheme="majorEastAsia" w:cstheme="majorBidi"/>
      <w:b/>
      <w:color w:val="auto"/>
      <w:szCs w:val="22"/>
    </w:rPr>
  </w:style>
  <w:style w:type="character" w:styleId="Strong">
    <w:name w:val="Strong"/>
    <w:basedOn w:val="DefaultParagraphFont"/>
    <w:uiPriority w:val="22"/>
    <w:qFormat/>
    <w:rsid w:val="00161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2025-09-22T08:15:00Z</dcterms:created>
  <dcterms:modified xsi:type="dcterms:W3CDTF">2025-10-01T10:25:00Z</dcterms:modified>
</cp:coreProperties>
</file>